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9BA" w:rsidRDefault="00754974">
      <w:pPr>
        <w:adjustRightInd w:val="0"/>
        <w:spacing w:line="276" w:lineRule="auto"/>
        <w:ind w:firstLine="422"/>
        <w:jc w:val="center"/>
        <w:rPr>
          <w:rFonts w:ascii="黑体" w:eastAsia="黑体" w:hAnsi="黑体"/>
          <w:b/>
          <w:bCs/>
          <w:sz w:val="28"/>
          <w:szCs w:val="28"/>
        </w:rPr>
      </w:pPr>
      <w:bookmarkStart w:id="0" w:name="_GoBack"/>
      <w:r>
        <w:rPr>
          <w:rFonts w:ascii="黑体" w:eastAsia="黑体" w:hAnsi="黑体" w:hint="eastAsia"/>
          <w:b/>
          <w:bCs/>
          <w:sz w:val="28"/>
          <w:szCs w:val="28"/>
        </w:rPr>
        <w:t>兴银理财【天天万利宝稳利】净值型理财产品</w:t>
      </w:r>
    </w:p>
    <w:p w:rsidR="000C29BA" w:rsidRDefault="0075497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0C29BA" w:rsidRDefault="00754974" w:rsidP="0075497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0C29BA" w:rsidRDefault="00754974">
      <w:pPr>
        <w:rPr>
          <w:rFonts w:ascii="宋体" w:hAnsi="宋体" w:cs="仿宋_GB2312"/>
          <w:b/>
          <w:kern w:val="0"/>
          <w:sz w:val="18"/>
          <w:szCs w:val="18"/>
        </w:rPr>
      </w:pPr>
      <w:r>
        <w:rPr>
          <w:rFonts w:ascii="宋体" w:hAnsi="宋体" w:cs="仿宋_GB2312" w:hint="eastAsia"/>
          <w:b/>
          <w:kern w:val="0"/>
          <w:sz w:val="18"/>
          <w:szCs w:val="18"/>
        </w:rPr>
        <w:t>尊敬的投资者：</w:t>
      </w:r>
    </w:p>
    <w:p w:rsidR="000C29BA" w:rsidRDefault="0075497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0C29BA" w:rsidRDefault="0075497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0C29BA" w:rsidRDefault="0075497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0C29BA" w:rsidRDefault="00754974">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0C29BA" w:rsidRDefault="0075497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Pr>
          <w:rFonts w:ascii="宋体" w:hAnsi="宋体" w:hint="eastAsia"/>
          <w:bCs/>
          <w:sz w:val="18"/>
          <w:szCs w:val="18"/>
        </w:rPr>
        <w:t>兴业银行天天万利宝稳利</w:t>
      </w:r>
      <w:r>
        <w:rPr>
          <w:rFonts w:ascii="宋体" w:hAnsi="宋体" w:hint="eastAsia"/>
          <w:bCs/>
          <w:sz w:val="18"/>
          <w:szCs w:val="18"/>
        </w:rPr>
        <w:t>2</w:t>
      </w:r>
      <w:r>
        <w:rPr>
          <w:rFonts w:ascii="宋体" w:hAnsi="宋体" w:hint="eastAsia"/>
          <w:bCs/>
          <w:sz w:val="18"/>
          <w:szCs w:val="18"/>
        </w:rPr>
        <w:t>号净值型理财产品</w:t>
      </w:r>
      <w:r>
        <w:rPr>
          <w:rFonts w:ascii="宋体" w:hAnsi="宋体" w:hint="eastAsia"/>
          <w:bCs/>
          <w:sz w:val="18"/>
          <w:szCs w:val="18"/>
        </w:rPr>
        <w:t>E</w:t>
      </w:r>
      <w:r>
        <w:rPr>
          <w:rFonts w:ascii="宋体" w:hAnsi="宋体" w:hint="eastAsia"/>
          <w:bCs/>
          <w:sz w:val="18"/>
          <w:szCs w:val="18"/>
        </w:rPr>
        <w:t>款</w:t>
      </w:r>
      <w:r>
        <w:rPr>
          <w:rFonts w:ascii="宋体" w:hAnsi="宋体" w:cs="仿宋_GB2312" w:hint="eastAsia"/>
          <w:kern w:val="0"/>
          <w:sz w:val="18"/>
          <w:szCs w:val="18"/>
        </w:rPr>
        <w:t>】。</w:t>
      </w:r>
    </w:p>
    <w:p w:rsidR="000C29BA" w:rsidRDefault="0075497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Theme="majorEastAsia" w:eastAsiaTheme="majorEastAsia" w:hAnsiTheme="majorEastAsia" w:hint="eastAsia"/>
          <w:bCs/>
          <w:kern w:val="0"/>
          <w:sz w:val="18"/>
          <w:szCs w:val="18"/>
        </w:rPr>
        <w:t>【</w:t>
      </w:r>
      <w:r>
        <w:rPr>
          <w:rFonts w:ascii="宋体" w:hAnsi="宋体" w:hint="eastAsia"/>
          <w:bCs/>
          <w:sz w:val="18"/>
          <w:szCs w:val="18"/>
        </w:rPr>
        <w:t>稳利恒盈</w:t>
      </w:r>
      <w:r>
        <w:rPr>
          <w:rFonts w:ascii="宋体" w:hAnsi="宋体"/>
          <w:bCs/>
          <w:sz w:val="18"/>
          <w:szCs w:val="18"/>
        </w:rPr>
        <w:t>E</w:t>
      </w:r>
      <w:r>
        <w:rPr>
          <w:rFonts w:ascii="宋体" w:hAnsi="宋体" w:hint="eastAsia"/>
          <w:bCs/>
          <w:sz w:val="18"/>
          <w:szCs w:val="18"/>
        </w:rPr>
        <w:t xml:space="preserve"> 6</w:t>
      </w:r>
      <w:r>
        <w:rPr>
          <w:rFonts w:ascii="宋体" w:hAnsi="宋体" w:hint="eastAsia"/>
          <w:bCs/>
          <w:sz w:val="18"/>
          <w:szCs w:val="18"/>
        </w:rPr>
        <w:t>个月</w:t>
      </w:r>
      <w:r>
        <w:rPr>
          <w:rFonts w:asciiTheme="majorEastAsia" w:eastAsiaTheme="majorEastAsia" w:hAnsiTheme="majorEastAsia" w:hint="eastAsia"/>
          <w:bCs/>
          <w:kern w:val="0"/>
          <w:sz w:val="18"/>
          <w:szCs w:val="18"/>
        </w:rPr>
        <w:t>】</w:t>
      </w:r>
      <w:r>
        <w:rPr>
          <w:rFonts w:ascii="宋体" w:hAnsi="宋体" w:cs="仿宋_GB2312" w:hint="eastAsia"/>
          <w:kern w:val="0"/>
          <w:sz w:val="18"/>
          <w:szCs w:val="18"/>
        </w:rPr>
        <w:t>。</w:t>
      </w:r>
    </w:p>
    <w:p w:rsidR="000C29BA" w:rsidRDefault="00754974">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Pr>
          <w:rFonts w:ascii="宋体" w:hAnsi="宋体"/>
          <w:bCs/>
          <w:sz w:val="18"/>
          <w:szCs w:val="18"/>
        </w:rPr>
        <w:t>Z7002020000022</w:t>
      </w:r>
      <w:r>
        <w:rPr>
          <w:rFonts w:ascii="宋体" w:hAnsi="宋体" w:cs="仿宋_GB2312" w:hint="eastAsia"/>
          <w:kern w:val="0"/>
          <w:sz w:val="18"/>
          <w:szCs w:val="18"/>
        </w:rPr>
        <w:t>】。</w:t>
      </w:r>
    </w:p>
    <w:p w:rsidR="000C29BA" w:rsidRDefault="0075497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0C29BA" w:rsidRDefault="00754974">
      <w:pPr>
        <w:ind w:firstLineChars="299" w:firstLine="538"/>
        <w:rPr>
          <w:rFonts w:ascii="宋体" w:hAnsi="宋体" w:cs="仿宋_GB2312"/>
          <w:kern w:val="0"/>
          <w:sz w:val="18"/>
          <w:szCs w:val="18"/>
        </w:rPr>
      </w:pPr>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0C29BA" w:rsidRDefault="0075497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0C29BA" w:rsidRDefault="00754974">
      <w:pPr>
        <w:ind w:firstLineChars="249" w:firstLine="448"/>
        <w:rPr>
          <w:rFonts w:ascii="宋体" w:hAnsi="宋体" w:cs="仿宋_GB2312"/>
          <w:kern w:val="0"/>
          <w:sz w:val="18"/>
          <w:szCs w:val="18"/>
        </w:rPr>
      </w:pPr>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r>
        <w:rPr>
          <w:rFonts w:ascii="宋体" w:hAnsi="宋体" w:cs="仿宋_GB2312"/>
          <w:kern w:val="0"/>
          <w:sz w:val="18"/>
          <w:szCs w:val="18"/>
        </w:rPr>
        <w:t>。</w:t>
      </w:r>
    </w:p>
    <w:p w:rsidR="000C29BA" w:rsidRDefault="0075497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0C29BA" w:rsidRDefault="0075497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0C29BA" w:rsidRDefault="0075497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0C29BA" w:rsidRDefault="0075497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0C29BA" w:rsidRDefault="0075497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；代理销售机构定义的产品风险评级为【</w:t>
      </w:r>
      <w:r>
        <w:rPr>
          <w:rFonts w:asciiTheme="majorEastAsia" w:eastAsiaTheme="majorEastAsia" w:hAnsiTheme="majorEastAsia"/>
          <w:bCs/>
          <w:color w:val="000000" w:themeColor="text1"/>
          <w:sz w:val="18"/>
          <w:szCs w:val="18"/>
        </w:rPr>
        <w:t>R2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0C29BA" w:rsidRDefault="0075497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0C29BA" w:rsidRDefault="0075497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0C29BA" w:rsidRDefault="0075497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0C29BA" w:rsidRDefault="0075497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 w:rsidR="000C29BA" w:rsidRDefault="0075497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0C29BA" w:rsidRDefault="0075497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0C29BA" w:rsidRDefault="0075497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0C29BA" w:rsidRDefault="00754974">
      <w:pPr>
        <w:ind w:firstLineChars="200" w:firstLine="360"/>
        <w:rPr>
          <w:rFonts w:ascii="黑体" w:eastAsia="黑体" w:hAnsi="黑体"/>
          <w:sz w:val="18"/>
          <w:szCs w:val="18"/>
        </w:rPr>
      </w:pPr>
      <w:r>
        <w:rPr>
          <w:rFonts w:ascii="黑体" w:eastAsia="黑体" w:hAnsi="黑体" w:hint="eastAsia"/>
          <w:sz w:val="18"/>
          <w:szCs w:val="18"/>
        </w:rPr>
        <w:t>（一）投资者投资本产品可能面临的特定风险主要包括（但不限于）：</w:t>
      </w:r>
    </w:p>
    <w:p w:rsidR="000C29BA" w:rsidRDefault="00754974">
      <w:pPr>
        <w:pStyle w:val="aa"/>
        <w:ind w:firstLineChars="0" w:firstLine="448"/>
        <w:rPr>
          <w:rFonts w:ascii="黑体" w:eastAsia="黑体" w:hAnsi="黑体"/>
          <w:sz w:val="18"/>
          <w:szCs w:val="18"/>
        </w:rPr>
      </w:pPr>
      <w:r>
        <w:rPr>
          <w:rFonts w:ascii="黑体" w:eastAsia="黑体" w:hAnsi="黑体" w:hint="eastAsia"/>
          <w:sz w:val="18"/>
          <w:szCs w:val="18"/>
        </w:rPr>
        <w:t>1.</w:t>
      </w:r>
      <w:r>
        <w:rPr>
          <w:rFonts w:ascii="黑体" w:eastAsia="黑体" w:hAnsi="黑体" w:hint="eastAsia"/>
          <w:sz w:val="18"/>
          <w:szCs w:val="18"/>
        </w:rPr>
        <w:t>拟投资市场和资产的风险：</w:t>
      </w:r>
    </w:p>
    <w:p w:rsidR="000C29BA" w:rsidRDefault="00754974">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sz w:val="18"/>
          <w:szCs w:val="18"/>
        </w:rPr>
        <w:t>）投资固定收益类资产的风险</w:t>
      </w:r>
    </w:p>
    <w:p w:rsidR="000C29BA" w:rsidRDefault="00754974">
      <w:pPr>
        <w:pStyle w:val="aa"/>
        <w:ind w:firstLineChars="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投资</w:t>
      </w:r>
      <w:r>
        <w:rPr>
          <w:rFonts w:ascii="宋体" w:hAnsi="宋体" w:hint="eastAsia"/>
          <w:sz w:val="18"/>
          <w:szCs w:val="18"/>
        </w:rPr>
        <w:t>标准化</w:t>
      </w:r>
      <w:r>
        <w:rPr>
          <w:rFonts w:ascii="宋体" w:hAnsi="宋体"/>
          <w:sz w:val="18"/>
          <w:szCs w:val="18"/>
        </w:rPr>
        <w:t>债权类资产的风险</w:t>
      </w:r>
    </w:p>
    <w:p w:rsidR="000C29BA" w:rsidRDefault="00754974">
      <w:pPr>
        <w:pStyle w:val="aa"/>
        <w:ind w:firstLineChars="0"/>
        <w:rPr>
          <w:rFonts w:ascii="宋体" w:hAnsi="宋体"/>
          <w:sz w:val="18"/>
          <w:szCs w:val="18"/>
        </w:rPr>
      </w:pPr>
      <w:r>
        <w:rPr>
          <w:rFonts w:ascii="宋体" w:hAnsi="宋体"/>
          <w:sz w:val="18"/>
          <w:szCs w:val="18"/>
        </w:rPr>
        <w:lastRenderedPageBreak/>
        <w:t>本产品投资债券</w:t>
      </w:r>
      <w:r>
        <w:rPr>
          <w:rFonts w:ascii="宋体" w:hAnsi="宋体" w:hint="eastAsia"/>
          <w:sz w:val="18"/>
          <w:szCs w:val="18"/>
        </w:rPr>
        <w:t>、资产支持证券等固定收益类资产时可能面临以下风险：</w:t>
      </w:r>
      <w:r>
        <w:rPr>
          <w:rFonts w:ascii="宋体" w:hAnsi="宋体"/>
          <w:sz w:val="18"/>
          <w:szCs w:val="18"/>
        </w:rPr>
        <w:t>国家政策、经济周期、利率、汇率等因素可</w:t>
      </w:r>
      <w:r>
        <w:rPr>
          <w:rFonts w:ascii="宋体" w:hAnsi="宋体"/>
          <w:sz w:val="18"/>
          <w:szCs w:val="18"/>
        </w:rPr>
        <w:t>能发生的变化导致的市场风险；债券发行人的经营状况、信用质量降低等可能发生的变化导致的信用风险；可能因市场成交量不足、缺乏交易对手导致的流动性风险等。</w:t>
      </w:r>
    </w:p>
    <w:p w:rsidR="000C29BA" w:rsidRDefault="00754974">
      <w:pPr>
        <w:pStyle w:val="aa"/>
        <w:ind w:firstLineChars="0"/>
        <w:rPr>
          <w:rFonts w:ascii="宋体" w:hAnsi="宋体"/>
          <w:sz w:val="18"/>
          <w:szCs w:val="18"/>
        </w:rPr>
      </w:pPr>
      <w:r>
        <w:rPr>
          <w:rFonts w:ascii="宋体" w:hAnsi="宋体"/>
          <w:sz w:val="18"/>
          <w:szCs w:val="18"/>
        </w:rPr>
        <w:t>2</w:t>
      </w:r>
      <w:r>
        <w:rPr>
          <w:rFonts w:ascii="宋体" w:hAnsi="宋体"/>
          <w:sz w:val="18"/>
          <w:szCs w:val="18"/>
        </w:rPr>
        <w:t>）投资非标准化债权类资产</w:t>
      </w:r>
      <w:r>
        <w:rPr>
          <w:rFonts w:ascii="宋体" w:hAnsi="宋体" w:hint="eastAsia"/>
          <w:sz w:val="18"/>
          <w:szCs w:val="18"/>
        </w:rPr>
        <w:t>的</w:t>
      </w:r>
      <w:r>
        <w:rPr>
          <w:rFonts w:ascii="宋体" w:hAnsi="宋体"/>
          <w:sz w:val="18"/>
          <w:szCs w:val="18"/>
        </w:rPr>
        <w:t>风险</w:t>
      </w:r>
    </w:p>
    <w:p w:rsidR="000C29BA" w:rsidRDefault="00754974">
      <w:pPr>
        <w:pStyle w:val="aa"/>
        <w:ind w:firstLineChars="0"/>
        <w:rPr>
          <w:rFonts w:ascii="宋体" w:hAnsi="宋体"/>
          <w:sz w:val="18"/>
          <w:szCs w:val="18"/>
        </w:rPr>
      </w:pPr>
      <w:r>
        <w:rPr>
          <w:rFonts w:ascii="宋体" w:hAnsi="宋体" w:hint="eastAsia"/>
          <w:sz w:val="18"/>
          <w:szCs w:val="18"/>
        </w:rPr>
        <w:t>本产品投资非标债权类资产时可能面临以下风险：由于融资主体</w:t>
      </w:r>
      <w:r>
        <w:rPr>
          <w:rFonts w:ascii="宋体" w:hAnsi="宋体" w:hint="eastAsia"/>
          <w:sz w:val="18"/>
          <w:szCs w:val="18"/>
        </w:rPr>
        <w:t>/</w:t>
      </w:r>
      <w:r>
        <w:rPr>
          <w:rFonts w:ascii="宋体" w:hAnsi="宋体" w:hint="eastAsia"/>
          <w:sz w:val="18"/>
          <w:szCs w:val="18"/>
        </w:rPr>
        <w:t>增</w:t>
      </w:r>
      <w:proofErr w:type="gramStart"/>
      <w:r>
        <w:rPr>
          <w:rFonts w:ascii="宋体" w:hAnsi="宋体" w:hint="eastAsia"/>
          <w:sz w:val="18"/>
          <w:szCs w:val="18"/>
        </w:rPr>
        <w:t>信主体</w:t>
      </w:r>
      <w:proofErr w:type="gramEnd"/>
      <w:r>
        <w:rPr>
          <w:rFonts w:ascii="宋体" w:hAnsi="宋体" w:hint="eastAsia"/>
          <w:sz w:val="18"/>
          <w:szCs w:val="18"/>
        </w:rPr>
        <w:t>/</w:t>
      </w:r>
      <w:r>
        <w:rPr>
          <w:rFonts w:ascii="宋体" w:hAnsi="宋体" w:hint="eastAsia"/>
          <w:sz w:val="18"/>
          <w:szCs w:val="18"/>
        </w:rPr>
        <w:t>其他义务人还款履约能力可能的变化导致的信用风险（包括但不限于：融资主体提前还款、延期还款或逾期还款的风险；增</w:t>
      </w:r>
      <w:proofErr w:type="gramStart"/>
      <w:r>
        <w:rPr>
          <w:rFonts w:ascii="宋体" w:hAnsi="宋体" w:hint="eastAsia"/>
          <w:sz w:val="18"/>
          <w:szCs w:val="18"/>
        </w:rPr>
        <w:t>信主体</w:t>
      </w:r>
      <w:proofErr w:type="gramEnd"/>
      <w:r>
        <w:rPr>
          <w:rFonts w:ascii="宋体" w:hAnsi="宋体" w:hint="eastAsia"/>
          <w:sz w:val="18"/>
          <w:szCs w:val="18"/>
        </w:rPr>
        <w:t>未能履行增信义务（例如：保证担保、差额补足、远期回购、流动性</w:t>
      </w:r>
      <w:proofErr w:type="gramStart"/>
      <w:r>
        <w:rPr>
          <w:rFonts w:ascii="宋体" w:hAnsi="宋体" w:hint="eastAsia"/>
          <w:sz w:val="18"/>
          <w:szCs w:val="18"/>
        </w:rPr>
        <w:t>支持等增信</w:t>
      </w:r>
      <w:proofErr w:type="gramEnd"/>
      <w:r>
        <w:rPr>
          <w:rFonts w:ascii="宋体" w:hAnsi="宋体" w:hint="eastAsia"/>
          <w:sz w:val="18"/>
          <w:szCs w:val="18"/>
        </w:rPr>
        <w:t>措施）的风险）；非标债权类资产可能因其无法等分化交易、信息披露不充分、未能集</w:t>
      </w:r>
      <w:r>
        <w:rPr>
          <w:rFonts w:ascii="宋体" w:hAnsi="宋体" w:hint="eastAsia"/>
          <w:sz w:val="18"/>
          <w:szCs w:val="18"/>
        </w:rPr>
        <w:t>中登记和独立托管、缺乏公允性定价和流动机制不完善、未在银行间市场、证券交易所市场等国务院同意设立的交易市场交易等原因，从而缺乏交易对手，导致流动性风险等。</w:t>
      </w:r>
    </w:p>
    <w:p w:rsidR="000C29BA" w:rsidRDefault="00754974">
      <w:pPr>
        <w:pStyle w:val="aa"/>
        <w:ind w:firstLineChars="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w:t>
      </w:r>
      <w:r>
        <w:rPr>
          <w:rFonts w:ascii="宋体" w:hAnsi="宋体"/>
          <w:sz w:val="18"/>
          <w:szCs w:val="18"/>
        </w:rPr>
        <w:t>权益类资产</w:t>
      </w:r>
      <w:r>
        <w:rPr>
          <w:rFonts w:ascii="宋体" w:hAnsi="宋体" w:hint="eastAsia"/>
          <w:sz w:val="18"/>
          <w:szCs w:val="18"/>
        </w:rPr>
        <w:t>的</w:t>
      </w:r>
      <w:r>
        <w:rPr>
          <w:rFonts w:ascii="宋体" w:hAnsi="宋体"/>
          <w:sz w:val="18"/>
          <w:szCs w:val="18"/>
        </w:rPr>
        <w:t>风险</w:t>
      </w:r>
    </w:p>
    <w:p w:rsidR="000C29BA" w:rsidRDefault="00754974">
      <w:pPr>
        <w:pStyle w:val="aa"/>
        <w:ind w:firstLineChars="0"/>
        <w:rPr>
          <w:rFonts w:ascii="宋体" w:hAnsi="宋体"/>
          <w:sz w:val="18"/>
          <w:szCs w:val="18"/>
        </w:rPr>
      </w:pPr>
      <w:r>
        <w:rPr>
          <w:rFonts w:ascii="宋体" w:hAnsi="宋体" w:hint="eastAsia"/>
          <w:sz w:val="18"/>
          <w:szCs w:val="18"/>
        </w:rPr>
        <w:t>1</w:t>
      </w:r>
      <w:r>
        <w:rPr>
          <w:rFonts w:ascii="宋体" w:hAnsi="宋体" w:hint="eastAsia"/>
          <w:sz w:val="18"/>
          <w:szCs w:val="18"/>
        </w:rPr>
        <w:t>）投资股票类资产的风险</w:t>
      </w:r>
    </w:p>
    <w:p w:rsidR="000C29BA" w:rsidRDefault="00754974">
      <w:pPr>
        <w:pStyle w:val="aa"/>
        <w:ind w:firstLineChars="0"/>
        <w:rPr>
          <w:rFonts w:ascii="宋体" w:hAnsi="宋体"/>
          <w:sz w:val="18"/>
          <w:szCs w:val="18"/>
        </w:rPr>
      </w:pPr>
      <w:r>
        <w:rPr>
          <w:rFonts w:ascii="宋体" w:hAnsi="宋体"/>
          <w:sz w:val="18"/>
          <w:szCs w:val="18"/>
        </w:rPr>
        <w:t>本产品投资股票类资产时可能面临以下风险</w:t>
      </w:r>
      <w:r>
        <w:rPr>
          <w:rFonts w:ascii="宋体" w:hAnsi="宋体" w:hint="eastAsia"/>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0C29BA" w:rsidRDefault="00754974">
      <w:pPr>
        <w:pStyle w:val="aa"/>
        <w:ind w:firstLineChars="0"/>
        <w:rPr>
          <w:rFonts w:ascii="宋体" w:hAnsi="宋体"/>
          <w:sz w:val="18"/>
          <w:szCs w:val="18"/>
        </w:rPr>
      </w:pPr>
      <w:r>
        <w:rPr>
          <w:rFonts w:ascii="宋体" w:hAnsi="宋体" w:hint="eastAsia"/>
          <w:sz w:val="18"/>
          <w:szCs w:val="18"/>
        </w:rPr>
        <w:t>2</w:t>
      </w:r>
      <w:r>
        <w:rPr>
          <w:rFonts w:ascii="宋体" w:hAnsi="宋体" w:hint="eastAsia"/>
          <w:sz w:val="18"/>
          <w:szCs w:val="18"/>
        </w:rPr>
        <w:t>）投资股权类资产的风险</w:t>
      </w:r>
    </w:p>
    <w:p w:rsidR="000C29BA" w:rsidRDefault="00754974">
      <w:pPr>
        <w:rPr>
          <w:rFonts w:ascii="宋体" w:hAnsi="宋体"/>
          <w:sz w:val="18"/>
          <w:szCs w:val="18"/>
        </w:rPr>
      </w:pPr>
      <w:r>
        <w:rPr>
          <w:rFonts w:ascii="宋体" w:hAnsi="宋体"/>
          <w:sz w:val="18"/>
          <w:szCs w:val="18"/>
        </w:rPr>
        <w:t>本产品投资未上市股权类资产时可能面临以下风险</w:t>
      </w:r>
      <w:r>
        <w:rPr>
          <w:rFonts w:ascii="宋体" w:hAnsi="宋体" w:hint="eastAsia"/>
          <w:sz w:val="18"/>
          <w:szCs w:val="18"/>
        </w:rPr>
        <w:t>：</w:t>
      </w:r>
      <w:r>
        <w:rPr>
          <w:rFonts w:ascii="宋体" w:hAnsi="宋体"/>
          <w:sz w:val="18"/>
          <w:szCs w:val="18"/>
        </w:rPr>
        <w:t>国家政策、经济周期、行业政策</w:t>
      </w:r>
      <w:r>
        <w:rPr>
          <w:rFonts w:ascii="宋体" w:hAnsi="宋体" w:hint="eastAsia"/>
          <w:sz w:val="18"/>
          <w:szCs w:val="18"/>
        </w:rPr>
        <w:t>等因素可能发生变化导致的市场风险；</w:t>
      </w:r>
      <w:r>
        <w:rPr>
          <w:rFonts w:ascii="宋体" w:hAnsi="宋体"/>
          <w:sz w:val="18"/>
          <w:szCs w:val="18"/>
        </w:rPr>
        <w:t>因市场、技术、竞争、管理、财务等导致公司盈利发生变化，其</w:t>
      </w:r>
      <w:r>
        <w:rPr>
          <w:rFonts w:ascii="宋体" w:hAnsi="宋体" w:hint="eastAsia"/>
          <w:sz w:val="18"/>
          <w:szCs w:val="18"/>
        </w:rPr>
        <w:t>股权</w:t>
      </w:r>
      <w:r>
        <w:rPr>
          <w:rFonts w:ascii="宋体" w:hAnsi="宋体"/>
          <w:sz w:val="18"/>
          <w:szCs w:val="18"/>
        </w:rPr>
        <w:t>价值可能下跌，影响投资者收益</w:t>
      </w:r>
      <w:r>
        <w:rPr>
          <w:rFonts w:ascii="宋体" w:hAnsi="宋体" w:hint="eastAsia"/>
          <w:sz w:val="18"/>
          <w:szCs w:val="18"/>
        </w:rPr>
        <w:t>；</w:t>
      </w:r>
      <w:r>
        <w:rPr>
          <w:rFonts w:ascii="宋体" w:hAnsi="宋体"/>
          <w:sz w:val="18"/>
          <w:szCs w:val="18"/>
        </w:rPr>
        <w:t>因股权未上市或存在相关限制股权转让的协议导致的流动性风险等</w:t>
      </w:r>
      <w:r>
        <w:rPr>
          <w:rFonts w:ascii="宋体" w:hAnsi="宋体" w:hint="eastAsia"/>
          <w:sz w:val="18"/>
          <w:szCs w:val="18"/>
        </w:rPr>
        <w:t>。</w:t>
      </w:r>
    </w:p>
    <w:p w:rsidR="000C29BA" w:rsidRDefault="00754974">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sz w:val="18"/>
          <w:szCs w:val="18"/>
        </w:rPr>
        <w:t>）投资商品和金融衍生品类资产</w:t>
      </w:r>
      <w:r>
        <w:rPr>
          <w:rFonts w:ascii="宋体" w:hAnsi="宋体" w:hint="eastAsia"/>
          <w:sz w:val="18"/>
          <w:szCs w:val="18"/>
        </w:rPr>
        <w:t>的</w:t>
      </w:r>
      <w:r>
        <w:rPr>
          <w:rFonts w:ascii="宋体" w:hAnsi="宋体"/>
          <w:sz w:val="18"/>
          <w:szCs w:val="18"/>
        </w:rPr>
        <w:t>风险</w:t>
      </w:r>
    </w:p>
    <w:p w:rsidR="000C29BA" w:rsidRDefault="00754974">
      <w:pPr>
        <w:pStyle w:val="aa"/>
        <w:ind w:firstLineChars="0"/>
        <w:rPr>
          <w:rFonts w:ascii="宋体" w:hAnsi="宋体"/>
          <w:sz w:val="18"/>
          <w:szCs w:val="18"/>
        </w:rPr>
      </w:pPr>
      <w:r>
        <w:rPr>
          <w:rFonts w:ascii="宋体" w:hAnsi="宋体"/>
          <w:sz w:val="18"/>
          <w:szCs w:val="18"/>
        </w:rPr>
        <w:t>本产品投资商品和金融衍生品类资产时</w:t>
      </w:r>
      <w:r>
        <w:rPr>
          <w:rFonts w:ascii="宋体" w:hAnsi="宋体" w:hint="eastAsia"/>
          <w:sz w:val="18"/>
          <w:szCs w:val="18"/>
        </w:rPr>
        <w:t>可能面临以下风险：该衍生</w:t>
      </w:r>
      <w:proofErr w:type="gramStart"/>
      <w:r>
        <w:rPr>
          <w:rFonts w:ascii="宋体" w:hAnsi="宋体" w:hint="eastAsia"/>
          <w:sz w:val="18"/>
          <w:szCs w:val="18"/>
        </w:rPr>
        <w:t>品资产</w:t>
      </w:r>
      <w:proofErr w:type="gramEnd"/>
      <w:r>
        <w:rPr>
          <w:rFonts w:ascii="宋体" w:hAnsi="宋体"/>
          <w:sz w:val="18"/>
          <w:szCs w:val="18"/>
        </w:rPr>
        <w:t>可能实行保证金交易制度，具有高杠杆性，高杠杆效应放大了价格波动风险；若本产品运作中出现基差</w:t>
      </w:r>
      <w:r>
        <w:rPr>
          <w:rFonts w:ascii="宋体" w:hAnsi="宋体" w:hint="eastAsia"/>
          <w:sz w:val="18"/>
          <w:szCs w:val="18"/>
        </w:rPr>
        <w:t>（注：</w:t>
      </w:r>
      <w:proofErr w:type="gramStart"/>
      <w:r>
        <w:rPr>
          <w:rFonts w:ascii="宋体" w:hAnsi="宋体"/>
          <w:sz w:val="18"/>
          <w:szCs w:val="18"/>
        </w:rPr>
        <w:t>基差是</w:t>
      </w:r>
      <w:proofErr w:type="gramEnd"/>
      <w:r>
        <w:rPr>
          <w:rFonts w:ascii="宋体" w:hAnsi="宋体"/>
          <w:sz w:val="18"/>
          <w:szCs w:val="18"/>
        </w:rPr>
        <w:t>指现货价格与期货价格</w:t>
      </w:r>
      <w:r>
        <w:rPr>
          <w:rFonts w:ascii="宋体" w:hAnsi="宋体"/>
          <w:sz w:val="18"/>
          <w:szCs w:val="18"/>
        </w:rPr>
        <w:t>之间的差额</w:t>
      </w:r>
      <w:r>
        <w:rPr>
          <w:rFonts w:ascii="宋体" w:hAnsi="宋体" w:hint="eastAsia"/>
          <w:sz w:val="18"/>
          <w:szCs w:val="18"/>
        </w:rPr>
        <w:t>）</w:t>
      </w:r>
      <w:r>
        <w:rPr>
          <w:rFonts w:ascii="宋体" w:hAnsi="宋体"/>
          <w:sz w:val="18"/>
          <w:szCs w:val="18"/>
        </w:rPr>
        <w:t>波动不确定性加大、</w:t>
      </w:r>
      <w:proofErr w:type="gramStart"/>
      <w:r>
        <w:rPr>
          <w:rFonts w:ascii="宋体" w:hAnsi="宋体"/>
          <w:sz w:val="18"/>
          <w:szCs w:val="18"/>
        </w:rPr>
        <w:t>基差向</w:t>
      </w:r>
      <w:proofErr w:type="gramEnd"/>
      <w:r>
        <w:rPr>
          <w:rFonts w:ascii="宋体" w:hAnsi="宋体"/>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0C29BA" w:rsidRDefault="00754974">
      <w:pPr>
        <w:pStyle w:val="aa"/>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r>
        <w:rPr>
          <w:rFonts w:ascii="黑体" w:eastAsia="黑体" w:hAnsi="黑体" w:hint="eastAsia"/>
          <w:sz w:val="18"/>
          <w:szCs w:val="18"/>
        </w:rPr>
        <w:t xml:space="preserve">   </w:t>
      </w:r>
    </w:p>
    <w:p w:rsidR="000C29BA" w:rsidRDefault="00754974">
      <w:pPr>
        <w:pStyle w:val="aa"/>
        <w:ind w:firstLineChars="0" w:firstLine="426"/>
        <w:rPr>
          <w:rFonts w:ascii="宋体" w:hAnsi="宋体"/>
          <w:sz w:val="18"/>
          <w:szCs w:val="18"/>
        </w:rPr>
      </w:pPr>
      <w:r>
        <w:rPr>
          <w:rFonts w:ascii="宋体" w:hAnsi="宋体" w:hint="eastAsia"/>
          <w:sz w:val="18"/>
          <w:szCs w:val="18"/>
        </w:rPr>
        <w:t>（二）投资者投资本产品可能面临的一般风险主要包括（但不限于）：</w:t>
      </w:r>
      <w:r>
        <w:rPr>
          <w:rFonts w:ascii="宋体" w:hAnsi="宋体" w:hint="eastAsia"/>
          <w:sz w:val="18"/>
          <w:szCs w:val="18"/>
        </w:rPr>
        <w:t xml:space="preserve"> </w:t>
      </w:r>
    </w:p>
    <w:p w:rsidR="000C29BA" w:rsidRDefault="00754974">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b/>
          <w:bCs/>
          <w:sz w:val="18"/>
          <w:szCs w:val="18"/>
        </w:rPr>
        <w:t>:</w:t>
      </w:r>
      <w:r>
        <w:rPr>
          <w:rFonts w:ascii="宋体" w:hAnsi="宋体" w:cs="仿宋_GB2312" w:hint="eastAsia"/>
          <w:kern w:val="0"/>
          <w:sz w:val="18"/>
          <w:szCs w:val="18"/>
        </w:rPr>
        <w:t>理财产</w:t>
      </w:r>
      <w:r>
        <w:rPr>
          <w:rFonts w:ascii="宋体" w:hAnsi="宋体" w:cs="仿宋_GB2312" w:hint="eastAsia"/>
          <w:kern w:val="0"/>
          <w:sz w:val="18"/>
          <w:szCs w:val="18"/>
        </w:rPr>
        <w:t>品投资运作过程中，理财产品管理人将根据《产品说明书》的约定投资于相关金融工具或资产，如果相关投资的债务人、交易对手等发生违约，信用状况恶化等，投资者将面临投资损失的风险。</w:t>
      </w:r>
    </w:p>
    <w:p w:rsidR="000C29BA" w:rsidRDefault="00754974">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0C29BA" w:rsidRDefault="00754974">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cs="仿宋_GB2312" w:hint="eastAsia"/>
          <w:kern w:val="0"/>
          <w:sz w:val="18"/>
          <w:szCs w:val="18"/>
        </w:rPr>
        <w:t>品投资</w:t>
      </w:r>
      <w:proofErr w:type="gramEnd"/>
      <w:r>
        <w:rPr>
          <w:rFonts w:ascii="宋体" w:hAnsi="宋体" w:cs="仿宋_GB2312" w:hint="eastAsia"/>
          <w:kern w:val="0"/>
          <w:sz w:val="18"/>
          <w:szCs w:val="18"/>
        </w:rPr>
        <w:t>风险等。</w:t>
      </w:r>
    </w:p>
    <w:p w:rsidR="000C29BA" w:rsidRDefault="00754974">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w:t>
      </w:r>
      <w:proofErr w:type="gramStart"/>
      <w:r>
        <w:rPr>
          <w:rFonts w:ascii="宋体" w:hAnsi="宋体" w:cs="仿宋_GB2312" w:hint="eastAsia"/>
          <w:bCs/>
          <w:kern w:val="0"/>
          <w:sz w:val="18"/>
          <w:szCs w:val="18"/>
        </w:rPr>
        <w:t>现及其</w:t>
      </w:r>
      <w:proofErr w:type="gramEnd"/>
      <w:r>
        <w:rPr>
          <w:rFonts w:ascii="宋体" w:hAnsi="宋体" w:cs="仿宋_GB2312" w:hint="eastAsia"/>
          <w:bCs/>
          <w:kern w:val="0"/>
          <w:sz w:val="18"/>
          <w:szCs w:val="18"/>
        </w:rPr>
        <w:t>他流动性风险。</w:t>
      </w:r>
    </w:p>
    <w:p w:rsidR="000C29BA" w:rsidRDefault="00754974">
      <w:pPr>
        <w:pStyle w:val="aa"/>
        <w:ind w:firstLineChars="0" w:firstLine="426"/>
        <w:rPr>
          <w:rFonts w:ascii="宋体" w:hAnsi="宋体" w:cs="仿宋_GB2312"/>
          <w:kern w:val="0"/>
          <w:sz w:val="18"/>
          <w:szCs w:val="18"/>
        </w:rPr>
      </w:pPr>
      <w:r>
        <w:rPr>
          <w:rFonts w:ascii="宋体" w:hAnsi="宋体" w:cs="仿宋_GB2312"/>
          <w:b/>
          <w:kern w:val="0"/>
          <w:sz w:val="18"/>
          <w:szCs w:val="18"/>
        </w:rPr>
        <w:lastRenderedPageBreak/>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0C29BA" w:rsidRDefault="00754974">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0C29BA" w:rsidRDefault="00754974">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proofErr w:type="gramStart"/>
      <w:r>
        <w:rPr>
          <w:rFonts w:ascii="宋体" w:hAnsi="宋体" w:cs="仿宋_GB2312"/>
          <w:b/>
          <w:kern w:val="0"/>
          <w:sz w:val="18"/>
          <w:szCs w:val="18"/>
        </w:rPr>
        <w:t>早偿风险</w:t>
      </w:r>
      <w:proofErr w:type="gramEnd"/>
      <w:r>
        <w:rPr>
          <w:rFonts w:ascii="宋体" w:hAnsi="宋体" w:cs="仿宋_GB2312"/>
          <w:b/>
          <w:kern w:val="0"/>
          <w:sz w:val="18"/>
          <w:szCs w:val="18"/>
        </w:rPr>
        <w:t>：</w:t>
      </w:r>
      <w:r>
        <w:rPr>
          <w:rFonts w:ascii="宋体" w:hAnsi="宋体" w:cs="仿宋_GB2312" w:hint="eastAsia"/>
          <w:kern w:val="0"/>
          <w:sz w:val="18"/>
          <w:szCs w:val="18"/>
        </w:rPr>
        <w:t>如遇国家金融政策重大调整影响产品正常运作时、本产品的投资资产等不能成立或者提前终</w:t>
      </w:r>
      <w:r>
        <w:rPr>
          <w:rFonts w:ascii="宋体" w:hAnsi="宋体" w:cs="仿宋_GB2312" w:hint="eastAsia"/>
          <w:kern w:val="0"/>
          <w:sz w:val="18"/>
          <w:szCs w:val="18"/>
        </w:rPr>
        <w:t>止、或者司法机关要求、或发生其他产品管理人认为需要提前终止本产品等情况，产品管理人有权部分或全部提前终止本产品，投资者将面临再投资机会风险。</w:t>
      </w:r>
    </w:p>
    <w:p w:rsidR="000C29BA" w:rsidRDefault="00754974">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w:t>
      </w:r>
      <w:r>
        <w:rPr>
          <w:rFonts w:ascii="宋体" w:hAnsi="宋体" w:cs="仿宋_GB2312"/>
          <w:kern w:val="0"/>
          <w:sz w:val="18"/>
          <w:szCs w:val="18"/>
        </w:rPr>
        <w:t>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0C29BA" w:rsidRDefault="00754974">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0C29BA" w:rsidRDefault="00754974">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0C29BA" w:rsidRDefault="00754974">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w:t>
      </w:r>
      <w:r>
        <w:rPr>
          <w:rFonts w:ascii="宋体" w:hAnsi="宋体" w:hint="eastAsia"/>
          <w:b/>
          <w:bCs/>
          <w:sz w:val="18"/>
          <w:szCs w:val="18"/>
        </w:rPr>
        <w:t>理财产品不成立风险：</w:t>
      </w:r>
      <w:r>
        <w:rPr>
          <w:rFonts w:ascii="宋体" w:hAnsi="宋体" w:hint="eastAsia"/>
          <w:bCs/>
          <w:sz w:val="18"/>
          <w:szCs w:val="18"/>
        </w:rPr>
        <w:t>如自本产品开始募集至认购期结束</w:t>
      </w:r>
      <w:proofErr w:type="gramStart"/>
      <w:r>
        <w:rPr>
          <w:rFonts w:ascii="宋体" w:hAnsi="宋体" w:hint="eastAsia"/>
          <w:bCs/>
          <w:sz w:val="18"/>
          <w:szCs w:val="18"/>
        </w:rPr>
        <w:t>认购总</w:t>
      </w:r>
      <w:proofErr w:type="gramEnd"/>
      <w:r>
        <w:rPr>
          <w:rFonts w:ascii="宋体" w:hAnsi="宋体" w:hint="eastAsia"/>
          <w:bCs/>
          <w:sz w:val="18"/>
          <w:szCs w:val="18"/>
        </w:rPr>
        <w:t>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0C29BA" w:rsidRDefault="00754974">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0C29BA" w:rsidRDefault="00754974">
      <w:pPr>
        <w:pStyle w:val="aa"/>
        <w:ind w:firstLineChars="0"/>
        <w:rPr>
          <w:rFonts w:ascii="宋体" w:hAnsi="宋体"/>
          <w:bCs/>
          <w:sz w:val="18"/>
          <w:szCs w:val="18"/>
        </w:rPr>
      </w:pPr>
      <w:r>
        <w:rPr>
          <w:rFonts w:ascii="宋体" w:hAnsi="宋体"/>
          <w:b/>
          <w:bCs/>
          <w:sz w:val="18"/>
          <w:szCs w:val="18"/>
        </w:rPr>
        <w:t>13.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w:t>
      </w:r>
      <w:r>
        <w:rPr>
          <w:rFonts w:asciiTheme="majorEastAsia" w:eastAsiaTheme="majorEastAsia" w:hAnsiTheme="majorEastAsia" w:hint="eastAsia"/>
          <w:bCs/>
          <w:color w:val="000000" w:themeColor="text1"/>
          <w:kern w:val="0"/>
          <w:sz w:val="18"/>
          <w:szCs w:val="18"/>
        </w:rPr>
        <w:t>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0C29BA" w:rsidRDefault="00754974">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0C29BA" w:rsidRDefault="00754974">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bCs/>
          <w:sz w:val="18"/>
          <w:szCs w:val="18"/>
          <w:u w:val="single"/>
        </w:rPr>
        <w:t>不</w:t>
      </w:r>
      <w:proofErr w:type="gramEnd"/>
      <w:r>
        <w:rPr>
          <w:rFonts w:ascii="黑体" w:eastAsia="黑体" w:hAnsi="黑体" w:hint="eastAsia"/>
          <w:bCs/>
          <w:sz w:val="18"/>
          <w:szCs w:val="18"/>
          <w:u w:val="single"/>
        </w:rPr>
        <w:t>免除因代理销售机构过错依法</w:t>
      </w:r>
      <w:r>
        <w:rPr>
          <w:rFonts w:ascii="黑体" w:eastAsia="黑体" w:hAnsi="黑体" w:hint="eastAsia"/>
          <w:bCs/>
          <w:sz w:val="18"/>
          <w:szCs w:val="18"/>
          <w:u w:val="single"/>
        </w:rPr>
        <w:t>应由代理销售机构承担的责任。</w:t>
      </w:r>
    </w:p>
    <w:p w:rsidR="000C29BA" w:rsidRDefault="00754974">
      <w:pPr>
        <w:pStyle w:val="aa"/>
        <w:ind w:firstLineChars="0"/>
        <w:rPr>
          <w:rFonts w:ascii="黑体" w:eastAsia="黑体" w:hAnsi="黑体" w:cs="仿宋_GB2312"/>
          <w:kern w:val="0"/>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w:t>
      </w:r>
      <w:r>
        <w:rPr>
          <w:rFonts w:ascii="黑体" w:eastAsia="黑体" w:hAnsi="黑体" w:hint="eastAsia"/>
          <w:sz w:val="18"/>
          <w:szCs w:val="18"/>
        </w:rPr>
        <w:t>收费方式、</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w:t>
      </w:r>
      <w:r>
        <w:rPr>
          <w:rFonts w:ascii="黑体" w:eastAsia="黑体" w:hAnsi="黑体" w:cs="仿宋_GB2312" w:hint="eastAsia"/>
          <w:kern w:val="0"/>
          <w:sz w:val="18"/>
          <w:szCs w:val="18"/>
        </w:rPr>
        <w:t>赎回的数量限制、</w:t>
      </w:r>
      <w:r>
        <w:rPr>
          <w:rFonts w:ascii="黑体" w:eastAsia="黑体" w:hAnsi="黑体" w:hint="eastAsia"/>
          <w:sz w:val="18"/>
          <w:szCs w:val="18"/>
        </w:rPr>
        <w:t>投资者持有本产品的最高限额最低限额、</w:t>
      </w:r>
      <w:r>
        <w:rPr>
          <w:rFonts w:ascii="黑体" w:eastAsia="黑体" w:hAnsi="黑体" w:cs="仿宋_GB2312" w:hint="eastAsia"/>
          <w:kern w:val="0"/>
          <w:sz w:val="18"/>
          <w:szCs w:val="18"/>
        </w:rPr>
        <w:t>计算和公告产品份额净值方面存在差异。</w:t>
      </w:r>
    </w:p>
    <w:p w:rsidR="000C29BA" w:rsidRDefault="00754974">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0C29BA" w:rsidRDefault="00754974">
      <w:pPr>
        <w:autoSpaceDE w:val="0"/>
        <w:autoSpaceDN w:val="0"/>
        <w:adjustRightInd w:val="0"/>
        <w:ind w:firstLine="420"/>
        <w:jc w:val="left"/>
        <w:rPr>
          <w:rFonts w:ascii="黑体" w:eastAsia="黑体" w:hAnsi="黑体"/>
          <w:b/>
          <w:sz w:val="18"/>
          <w:szCs w:val="18"/>
        </w:rPr>
      </w:pPr>
      <w:r>
        <w:rPr>
          <w:rFonts w:ascii="黑体" w:eastAsia="黑体" w:hAnsi="黑体" w:cs="仿宋_GB2312" w:hint="eastAsia"/>
          <w:b/>
          <w:kern w:val="0"/>
          <w:sz w:val="18"/>
          <w:szCs w:val="18"/>
        </w:rPr>
        <w:lastRenderedPageBreak/>
        <w:t>（三）</w:t>
      </w:r>
      <w:r>
        <w:rPr>
          <w:rFonts w:hAnsi="宋体" w:hint="eastAsia"/>
          <w:b/>
          <w:sz w:val="18"/>
          <w:szCs w:val="18"/>
        </w:rPr>
        <w:t>★</w:t>
      </w:r>
      <w:r>
        <w:rPr>
          <w:rFonts w:ascii="黑体" w:eastAsia="黑体" w:hAnsi="黑体" w:cs="仿宋_GB2312" w:hint="eastAsia"/>
          <w:b/>
          <w:kern w:val="0"/>
          <w:sz w:val="18"/>
          <w:szCs w:val="18"/>
        </w:rPr>
        <w:t>最不利投资情形下的投资结果示例：</w:t>
      </w:r>
      <w:r>
        <w:rPr>
          <w:rFonts w:ascii="黑体" w:eastAsia="黑体" w:hAnsi="黑体" w:hint="eastAsia"/>
          <w:b/>
          <w:bCs/>
          <w:sz w:val="18"/>
          <w:szCs w:val="18"/>
        </w:rPr>
        <w:t>产品管理人对本产品的理财本金和收益不提供保证承诺，</w:t>
      </w:r>
      <w:r>
        <w:rPr>
          <w:rFonts w:ascii="黑体" w:eastAsia="黑体" w:hAnsi="黑体" w:hint="eastAsia"/>
          <w:b/>
          <w:sz w:val="18"/>
          <w:szCs w:val="18"/>
        </w:rPr>
        <w:t>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0C29BA" w:rsidRDefault="00754974">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w:t>
      </w:r>
      <w:proofErr w:type="gramStart"/>
      <w:r>
        <w:rPr>
          <w:rFonts w:ascii="黑体" w:eastAsia="黑体" w:hAnsi="黑体" w:cs="仿宋_GB2312" w:hint="eastAsia"/>
          <w:kern w:val="0"/>
          <w:sz w:val="18"/>
          <w:szCs w:val="18"/>
        </w:rPr>
        <w:t>您风险</w:t>
      </w:r>
      <w:proofErr w:type="gramEnd"/>
      <w:r>
        <w:rPr>
          <w:rFonts w:ascii="黑体" w:eastAsia="黑体" w:hAnsi="黑体" w:cs="仿宋_GB2312" w:hint="eastAsia"/>
          <w:kern w:val="0"/>
          <w:sz w:val="18"/>
          <w:szCs w:val="18"/>
        </w:rPr>
        <w:t>承受能力的因素发生变化，请您及时重新完成风险承受能力评估。</w:t>
      </w:r>
    </w:p>
    <w:p w:rsidR="000C29BA" w:rsidRDefault="000C29BA">
      <w:pPr>
        <w:ind w:left="540"/>
        <w:jc w:val="right"/>
        <w:rPr>
          <w:rFonts w:ascii="宋体" w:hAnsi="宋体"/>
          <w:sz w:val="18"/>
          <w:szCs w:val="18"/>
        </w:rPr>
      </w:pPr>
    </w:p>
    <w:p w:rsidR="000C29BA" w:rsidRDefault="0075497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0C29BA" w:rsidRDefault="00754974">
      <w:pPr>
        <w:wordWrap w:val="0"/>
        <w:ind w:left="540"/>
        <w:jc w:val="right"/>
        <w:rPr>
          <w:rFonts w:ascii="宋体" w:hAnsi="宋体"/>
          <w:sz w:val="18"/>
          <w:szCs w:val="18"/>
        </w:rPr>
      </w:pPr>
      <w:r>
        <w:rPr>
          <w:rFonts w:ascii="宋体" w:hAnsi="宋体" w:hint="eastAsia"/>
          <w:sz w:val="18"/>
          <w:szCs w:val="18"/>
        </w:rPr>
        <w:t>销售机构（【浙江桐庐农村商业银行股份有限公司</w:t>
      </w:r>
      <w:r>
        <w:rPr>
          <w:rFonts w:ascii="宋体" w:hAnsi="宋体" w:hint="eastAsia"/>
          <w:sz w:val="18"/>
          <w:szCs w:val="18"/>
        </w:rPr>
        <w:t>】）</w:t>
      </w:r>
    </w:p>
    <w:p w:rsidR="000C29BA" w:rsidRDefault="00754974">
      <w:pPr>
        <w:widowControl/>
        <w:jc w:val="left"/>
        <w:rPr>
          <w:rFonts w:ascii="宋体" w:hAnsi="宋体"/>
          <w:sz w:val="18"/>
          <w:szCs w:val="18"/>
        </w:rPr>
      </w:pPr>
      <w:r>
        <w:rPr>
          <w:rFonts w:ascii="宋体" w:hAnsi="宋体"/>
          <w:sz w:val="18"/>
          <w:szCs w:val="18"/>
        </w:rPr>
        <w:br w:type="page"/>
      </w:r>
    </w:p>
    <w:p w:rsidR="000C29BA" w:rsidRDefault="000C29BA">
      <w:pPr>
        <w:ind w:left="540"/>
        <w:jc w:val="right"/>
        <w:rPr>
          <w:rFonts w:ascii="宋体" w:hAnsi="宋体"/>
          <w:sz w:val="18"/>
          <w:szCs w:val="18"/>
        </w:rPr>
      </w:pPr>
    </w:p>
    <w:p w:rsidR="000C29BA" w:rsidRDefault="000C29BA">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71"/>
      </w:tblGrid>
      <w:tr w:rsidR="000C29BA">
        <w:trPr>
          <w:trHeight w:val="627"/>
        </w:trPr>
        <w:tc>
          <w:tcPr>
            <w:tcW w:w="8371" w:type="dxa"/>
          </w:tcPr>
          <w:p w:rsidR="000C29BA" w:rsidRDefault="0075497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0C29BA" w:rsidRDefault="0075497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0C29BA">
        <w:trPr>
          <w:trHeight w:val="6283"/>
        </w:trPr>
        <w:tc>
          <w:tcPr>
            <w:tcW w:w="8371" w:type="dxa"/>
          </w:tcPr>
          <w:p w:rsidR="000C29BA" w:rsidRDefault="0075497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0C29BA" w:rsidRDefault="000C29BA">
            <w:pPr>
              <w:spacing w:line="280" w:lineRule="atLeast"/>
              <w:jc w:val="left"/>
              <w:rPr>
                <w:rFonts w:ascii="宋体" w:hAnsi="宋体" w:cs="Arial"/>
                <w:sz w:val="18"/>
                <w:szCs w:val="18"/>
              </w:rPr>
            </w:pPr>
          </w:p>
          <w:p w:rsidR="000C29BA" w:rsidRDefault="0075497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0C29BA" w:rsidRDefault="000C29BA">
            <w:pPr>
              <w:spacing w:line="280" w:lineRule="atLeast"/>
              <w:jc w:val="left"/>
              <w:rPr>
                <w:rFonts w:ascii="宋体" w:hAnsi="宋体" w:cs="Arial"/>
                <w:kern w:val="0"/>
                <w:sz w:val="18"/>
                <w:szCs w:val="18"/>
              </w:rPr>
            </w:pPr>
          </w:p>
          <w:p w:rsidR="000C29BA" w:rsidRDefault="0075497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0C29BA" w:rsidRDefault="000C29BA">
            <w:pPr>
              <w:spacing w:line="280" w:lineRule="atLeast"/>
              <w:jc w:val="left"/>
              <w:rPr>
                <w:rFonts w:ascii="宋体" w:hAnsi="宋体" w:cs="Arial"/>
                <w:kern w:val="0"/>
                <w:sz w:val="18"/>
                <w:szCs w:val="18"/>
              </w:rPr>
            </w:pPr>
          </w:p>
          <w:p w:rsidR="000C29BA" w:rsidRDefault="00754974">
            <w:pPr>
              <w:spacing w:line="280" w:lineRule="atLeast"/>
              <w:jc w:val="left"/>
              <w:rPr>
                <w:kern w:val="0"/>
                <w:sz w:val="18"/>
                <w:szCs w:val="18"/>
                <w:u w:val="single"/>
              </w:rPr>
            </w:pPr>
            <w:r>
              <w:rPr>
                <w:rFonts w:ascii="宋体" w:hAnsi="宋体" w:cs="Arial" w:hint="eastAsia"/>
                <w:kern w:val="0"/>
                <w:sz w:val="18"/>
                <w:szCs w:val="18"/>
              </w:rPr>
              <w:t>请投资者在此抄录：</w:t>
            </w:r>
          </w:p>
          <w:p w:rsidR="000C29BA" w:rsidRDefault="000C29BA">
            <w:pPr>
              <w:spacing w:line="280" w:lineRule="atLeast"/>
              <w:jc w:val="left"/>
              <w:rPr>
                <w:kern w:val="0"/>
                <w:sz w:val="18"/>
                <w:szCs w:val="18"/>
                <w:u w:val="single"/>
              </w:rPr>
            </w:pPr>
          </w:p>
          <w:p w:rsidR="000C29BA" w:rsidRDefault="0075497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0C29BA" w:rsidRDefault="000C29BA">
            <w:pPr>
              <w:spacing w:line="280" w:lineRule="atLeast"/>
              <w:ind w:left="4200" w:firstLineChars="600" w:firstLine="1080"/>
              <w:jc w:val="left"/>
              <w:rPr>
                <w:rFonts w:ascii="宋体" w:hAnsi="宋体" w:cs="Arial"/>
                <w:kern w:val="0"/>
                <w:sz w:val="18"/>
                <w:szCs w:val="18"/>
              </w:rPr>
            </w:pPr>
          </w:p>
          <w:p w:rsidR="000C29BA" w:rsidRDefault="0075497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C29BA" w:rsidRDefault="000C29BA">
            <w:pPr>
              <w:spacing w:line="280" w:lineRule="atLeast"/>
              <w:ind w:left="4200" w:firstLineChars="600" w:firstLine="1080"/>
              <w:jc w:val="left"/>
              <w:rPr>
                <w:rFonts w:ascii="宋体" w:hAnsi="宋体" w:cs="Arial"/>
                <w:kern w:val="0"/>
                <w:sz w:val="18"/>
                <w:szCs w:val="18"/>
              </w:rPr>
            </w:pPr>
          </w:p>
          <w:p w:rsidR="000C29BA" w:rsidRDefault="00754974">
            <w:pPr>
              <w:spacing w:line="280" w:lineRule="atLeast"/>
              <w:jc w:val="left"/>
              <w:rPr>
                <w:rFonts w:ascii="宋体" w:hAnsi="宋体" w:cs="Arial"/>
                <w:kern w:val="0"/>
                <w:sz w:val="18"/>
                <w:szCs w:val="18"/>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p w:rsidR="000C29BA" w:rsidRDefault="000C29BA">
            <w:pPr>
              <w:spacing w:line="280" w:lineRule="atLeast"/>
              <w:jc w:val="right"/>
              <w:rPr>
                <w:rFonts w:ascii="宋体" w:hAnsi="宋体"/>
                <w:kern w:val="0"/>
                <w:sz w:val="18"/>
                <w:szCs w:val="18"/>
              </w:rPr>
            </w:pPr>
          </w:p>
        </w:tc>
      </w:tr>
    </w:tbl>
    <w:p w:rsidR="000C29BA" w:rsidRDefault="000C29BA">
      <w:pPr>
        <w:autoSpaceDE w:val="0"/>
        <w:autoSpaceDN w:val="0"/>
        <w:adjustRightInd w:val="0"/>
        <w:spacing w:line="360" w:lineRule="auto"/>
        <w:ind w:firstLine="420"/>
        <w:jc w:val="left"/>
        <w:rPr>
          <w:rFonts w:ascii="宋体" w:hAnsi="宋体"/>
          <w:sz w:val="24"/>
        </w:rPr>
      </w:pPr>
    </w:p>
    <w:p w:rsidR="000C29BA" w:rsidRDefault="000C29BA">
      <w:pPr>
        <w:autoSpaceDE w:val="0"/>
        <w:autoSpaceDN w:val="0"/>
        <w:adjustRightInd w:val="0"/>
        <w:spacing w:line="360" w:lineRule="auto"/>
        <w:ind w:firstLine="420"/>
        <w:jc w:val="left"/>
        <w:rPr>
          <w:rFonts w:ascii="宋体" w:hAnsi="宋体"/>
          <w:sz w:val="24"/>
        </w:rPr>
      </w:pPr>
    </w:p>
    <w:p w:rsidR="000C29BA" w:rsidRDefault="000C29BA">
      <w:pPr>
        <w:autoSpaceDE w:val="0"/>
        <w:autoSpaceDN w:val="0"/>
        <w:adjustRightInd w:val="0"/>
        <w:spacing w:line="360" w:lineRule="auto"/>
        <w:ind w:firstLine="420"/>
        <w:jc w:val="left"/>
        <w:rPr>
          <w:rFonts w:ascii="宋体" w:hAnsi="宋体"/>
          <w:sz w:val="24"/>
        </w:rPr>
      </w:pPr>
    </w:p>
    <w:p w:rsidR="000C29BA" w:rsidRDefault="000C29BA">
      <w:pPr>
        <w:autoSpaceDE w:val="0"/>
        <w:autoSpaceDN w:val="0"/>
        <w:adjustRightInd w:val="0"/>
        <w:spacing w:line="360" w:lineRule="auto"/>
        <w:ind w:firstLine="420"/>
        <w:jc w:val="left"/>
        <w:rPr>
          <w:rFonts w:ascii="宋体" w:hAnsi="宋体"/>
          <w:sz w:val="24"/>
        </w:rPr>
      </w:pPr>
    </w:p>
    <w:p w:rsidR="000C29BA" w:rsidRDefault="000C29BA">
      <w:pPr>
        <w:rPr>
          <w:rFonts w:ascii="宋体" w:hAnsi="宋体" w:cs="Arial"/>
          <w:sz w:val="24"/>
        </w:rPr>
      </w:pPr>
    </w:p>
    <w:p w:rsidR="000C29BA" w:rsidRDefault="000C29BA">
      <w:pPr>
        <w:rPr>
          <w:rFonts w:ascii="宋体" w:hAnsi="宋体" w:cs="Arial"/>
          <w:sz w:val="24"/>
        </w:rPr>
      </w:pPr>
    </w:p>
    <w:p w:rsidR="000C29BA" w:rsidRDefault="000C29BA">
      <w:pPr>
        <w:rPr>
          <w:rFonts w:ascii="宋体" w:hAnsi="宋体" w:cs="Arial"/>
          <w:sz w:val="24"/>
        </w:rPr>
      </w:pPr>
    </w:p>
    <w:p w:rsidR="000C29BA" w:rsidRDefault="000C29BA">
      <w:pPr>
        <w:rPr>
          <w:rFonts w:ascii="宋体" w:hAnsi="宋体" w:cs="Arial"/>
          <w:sz w:val="24"/>
        </w:rPr>
      </w:pPr>
    </w:p>
    <w:p w:rsidR="000C29BA" w:rsidRDefault="000C29BA">
      <w:pPr>
        <w:rPr>
          <w:rFonts w:ascii="宋体" w:hAnsi="宋体" w:cs="Arial"/>
          <w:sz w:val="24"/>
        </w:rPr>
      </w:pPr>
    </w:p>
    <w:p w:rsidR="000C29BA" w:rsidRDefault="000C29BA">
      <w:pPr>
        <w:rPr>
          <w:rFonts w:ascii="宋体" w:hAnsi="宋体" w:cs="Arial"/>
          <w:sz w:val="24"/>
        </w:rPr>
      </w:pPr>
    </w:p>
    <w:p w:rsidR="000C29BA" w:rsidRDefault="0075497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413"/>
      </w:tblGrid>
      <w:tr w:rsidR="000C29BA">
        <w:trPr>
          <w:trHeight w:val="823"/>
        </w:trPr>
        <w:tc>
          <w:tcPr>
            <w:tcW w:w="8413" w:type="dxa"/>
          </w:tcPr>
          <w:p w:rsidR="000C29BA" w:rsidRDefault="0075497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0C29BA" w:rsidRDefault="0075497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0C29BA">
        <w:trPr>
          <w:trHeight w:val="7355"/>
        </w:trPr>
        <w:tc>
          <w:tcPr>
            <w:tcW w:w="8413" w:type="dxa"/>
          </w:tcPr>
          <w:p w:rsidR="000C29BA" w:rsidRDefault="0075497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0C29BA" w:rsidRDefault="000C29BA">
            <w:pPr>
              <w:spacing w:line="280" w:lineRule="atLeast"/>
              <w:ind w:firstLineChars="200" w:firstLine="360"/>
              <w:jc w:val="left"/>
              <w:rPr>
                <w:rFonts w:ascii="宋体" w:hAnsi="宋体" w:cs="Arial"/>
                <w:kern w:val="0"/>
                <w:sz w:val="18"/>
                <w:szCs w:val="18"/>
              </w:rPr>
            </w:pPr>
          </w:p>
          <w:p w:rsidR="000C29BA" w:rsidRDefault="0075497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0C29BA" w:rsidRDefault="000C29BA">
            <w:pPr>
              <w:spacing w:line="280" w:lineRule="atLeast"/>
              <w:ind w:firstLineChars="200" w:firstLine="360"/>
              <w:jc w:val="left"/>
              <w:rPr>
                <w:rFonts w:ascii="宋体" w:hAnsi="宋体" w:cs="Arial"/>
                <w:kern w:val="0"/>
                <w:sz w:val="18"/>
                <w:szCs w:val="18"/>
              </w:rPr>
            </w:pPr>
          </w:p>
          <w:p w:rsidR="000C29BA" w:rsidRDefault="0075497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0C29BA" w:rsidRDefault="000C29BA">
            <w:pPr>
              <w:spacing w:line="280" w:lineRule="atLeast"/>
              <w:jc w:val="left"/>
              <w:rPr>
                <w:rFonts w:ascii="宋体" w:hAnsi="宋体" w:cs="Arial"/>
                <w:kern w:val="0"/>
                <w:sz w:val="18"/>
                <w:szCs w:val="18"/>
              </w:rPr>
            </w:pPr>
          </w:p>
          <w:p w:rsidR="000C29BA" w:rsidRDefault="0075497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0C29BA" w:rsidRDefault="000C29BA">
            <w:pPr>
              <w:spacing w:line="280" w:lineRule="atLeast"/>
              <w:jc w:val="left"/>
              <w:rPr>
                <w:rFonts w:ascii="宋体" w:hAnsi="宋体" w:cs="Arial"/>
                <w:kern w:val="0"/>
                <w:sz w:val="18"/>
                <w:szCs w:val="18"/>
              </w:rPr>
            </w:pPr>
          </w:p>
          <w:p w:rsidR="000C29BA" w:rsidRDefault="0075497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0C29BA" w:rsidRDefault="000C29BA">
            <w:pPr>
              <w:spacing w:line="280" w:lineRule="atLeast"/>
              <w:jc w:val="left"/>
              <w:rPr>
                <w:rFonts w:ascii="宋体" w:hAnsi="宋体" w:cs="Arial"/>
                <w:kern w:val="0"/>
                <w:sz w:val="18"/>
                <w:szCs w:val="18"/>
              </w:rPr>
            </w:pPr>
          </w:p>
          <w:p w:rsidR="000C29BA" w:rsidRDefault="0075497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0C29BA" w:rsidRDefault="000C29BA">
            <w:pPr>
              <w:spacing w:line="280" w:lineRule="atLeast"/>
              <w:ind w:left="4200" w:firstLineChars="600" w:firstLine="1080"/>
              <w:jc w:val="left"/>
              <w:rPr>
                <w:rFonts w:ascii="宋体" w:hAnsi="宋体" w:cs="Arial"/>
                <w:kern w:val="0"/>
                <w:sz w:val="18"/>
                <w:szCs w:val="18"/>
              </w:rPr>
            </w:pPr>
          </w:p>
          <w:p w:rsidR="000C29BA" w:rsidRDefault="0075497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C29BA" w:rsidRDefault="000C29BA">
            <w:pPr>
              <w:spacing w:line="280" w:lineRule="atLeast"/>
              <w:rPr>
                <w:kern w:val="0"/>
                <w:sz w:val="20"/>
                <w:szCs w:val="20"/>
              </w:rPr>
            </w:pPr>
          </w:p>
          <w:p w:rsidR="000C29BA" w:rsidRDefault="00754974">
            <w:pPr>
              <w:spacing w:line="280" w:lineRule="atLeast"/>
              <w:rPr>
                <w:b/>
                <w:kern w:val="0"/>
                <w:sz w:val="20"/>
                <w:szCs w:val="20"/>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tc>
      </w:tr>
    </w:tbl>
    <w:p w:rsidR="000C29BA" w:rsidRDefault="00754974">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88"/>
      </w:tblGrid>
      <w:tr w:rsidR="000C29BA">
        <w:trPr>
          <w:trHeight w:val="673"/>
        </w:trPr>
        <w:tc>
          <w:tcPr>
            <w:tcW w:w="8388" w:type="dxa"/>
          </w:tcPr>
          <w:p w:rsidR="000C29BA" w:rsidRDefault="0075497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0C29BA" w:rsidRDefault="0075497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0C29BA">
        <w:trPr>
          <w:trHeight w:val="6016"/>
        </w:trPr>
        <w:tc>
          <w:tcPr>
            <w:tcW w:w="8388" w:type="dxa"/>
          </w:tcPr>
          <w:p w:rsidR="000C29BA" w:rsidRDefault="0075497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0C29BA" w:rsidRDefault="000C29BA">
            <w:pPr>
              <w:spacing w:line="280" w:lineRule="atLeast"/>
              <w:ind w:firstLineChars="200" w:firstLine="360"/>
              <w:jc w:val="left"/>
              <w:rPr>
                <w:rFonts w:ascii="宋体" w:hAnsi="宋体" w:cs="Arial"/>
                <w:kern w:val="0"/>
                <w:sz w:val="18"/>
                <w:szCs w:val="18"/>
              </w:rPr>
            </w:pPr>
          </w:p>
          <w:p w:rsidR="000C29BA" w:rsidRDefault="0075497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0C29BA" w:rsidRDefault="000C29BA">
            <w:pPr>
              <w:spacing w:line="280" w:lineRule="atLeast"/>
              <w:jc w:val="left"/>
              <w:rPr>
                <w:rFonts w:ascii="宋体" w:hAnsi="宋体" w:cs="Arial"/>
                <w:kern w:val="0"/>
                <w:sz w:val="18"/>
                <w:szCs w:val="18"/>
              </w:rPr>
            </w:pPr>
          </w:p>
          <w:p w:rsidR="000C29BA" w:rsidRDefault="0075497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0C29BA" w:rsidRDefault="000C29BA">
            <w:pPr>
              <w:spacing w:line="280" w:lineRule="atLeast"/>
              <w:jc w:val="left"/>
              <w:rPr>
                <w:rFonts w:ascii="宋体" w:hAnsi="宋体" w:cs="Arial"/>
                <w:kern w:val="0"/>
                <w:sz w:val="18"/>
                <w:szCs w:val="18"/>
              </w:rPr>
            </w:pPr>
          </w:p>
          <w:p w:rsidR="000C29BA" w:rsidRDefault="0075497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0C29BA" w:rsidRDefault="000C29BA">
            <w:pPr>
              <w:spacing w:line="280" w:lineRule="atLeast"/>
              <w:jc w:val="left"/>
              <w:rPr>
                <w:rFonts w:ascii="宋体" w:hAnsi="宋体" w:cs="Arial"/>
                <w:kern w:val="0"/>
                <w:sz w:val="18"/>
                <w:szCs w:val="18"/>
              </w:rPr>
            </w:pPr>
          </w:p>
          <w:p w:rsidR="000C29BA" w:rsidRDefault="0075497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0C29BA" w:rsidRDefault="000C29BA">
            <w:pPr>
              <w:spacing w:line="280" w:lineRule="atLeast"/>
              <w:ind w:left="4200" w:firstLineChars="600" w:firstLine="1080"/>
              <w:jc w:val="left"/>
              <w:rPr>
                <w:rFonts w:ascii="宋体" w:hAnsi="宋体" w:cs="Arial"/>
                <w:kern w:val="0"/>
                <w:sz w:val="18"/>
                <w:szCs w:val="18"/>
              </w:rPr>
            </w:pPr>
          </w:p>
          <w:p w:rsidR="000C29BA" w:rsidRDefault="0075497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C29BA" w:rsidRDefault="000C29BA">
            <w:pPr>
              <w:spacing w:line="280" w:lineRule="atLeast"/>
              <w:rPr>
                <w:kern w:val="0"/>
                <w:sz w:val="20"/>
                <w:szCs w:val="20"/>
              </w:rPr>
            </w:pPr>
          </w:p>
          <w:p w:rsidR="000C29BA" w:rsidRDefault="00754974">
            <w:pPr>
              <w:spacing w:line="280" w:lineRule="atLeast"/>
              <w:rPr>
                <w:b/>
                <w:kern w:val="0"/>
                <w:sz w:val="20"/>
                <w:szCs w:val="20"/>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tc>
      </w:tr>
    </w:tbl>
    <w:p w:rsidR="000C29BA" w:rsidRDefault="000C29BA"/>
    <w:sectPr w:rsidR="000C29BA" w:rsidSect="000C29BA">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9BA" w:rsidRDefault="000C29BA" w:rsidP="000C29BA">
      <w:r>
        <w:separator/>
      </w:r>
    </w:p>
  </w:endnote>
  <w:endnote w:type="continuationSeparator" w:id="1">
    <w:p w:rsidR="000C29BA" w:rsidRDefault="000C29BA" w:rsidP="000C29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0AFF" w:usb1="00007843" w:usb2="00000001" w:usb3="00000000" w:csb0="000001BF" w:csb1="00000000"/>
  </w:font>
  <w:font w:name="Calibri Light">
    <w:altName w:val="Arial Unicode MS"/>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9BA" w:rsidRDefault="000C29BA" w:rsidP="000C29BA">
      <w:r>
        <w:separator/>
      </w:r>
    </w:p>
  </w:footnote>
  <w:footnote w:type="continuationSeparator" w:id="1">
    <w:p w:rsidR="000C29BA" w:rsidRDefault="000C29BA" w:rsidP="000C29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9BA" w:rsidRDefault="00754974">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0C29BA" w:rsidRDefault="00754974">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3E8F"/>
    <w:rsid w:val="00003621"/>
    <w:rsid w:val="00096AC8"/>
    <w:rsid w:val="000A244A"/>
    <w:rsid w:val="000B16F1"/>
    <w:rsid w:val="000B357F"/>
    <w:rsid w:val="000C29BA"/>
    <w:rsid w:val="000F0566"/>
    <w:rsid w:val="001104E8"/>
    <w:rsid w:val="00152999"/>
    <w:rsid w:val="001C5047"/>
    <w:rsid w:val="002114AF"/>
    <w:rsid w:val="002354DB"/>
    <w:rsid w:val="00262560"/>
    <w:rsid w:val="002B4BDD"/>
    <w:rsid w:val="002B63FC"/>
    <w:rsid w:val="002C604E"/>
    <w:rsid w:val="002F0B15"/>
    <w:rsid w:val="003259E6"/>
    <w:rsid w:val="00334E2F"/>
    <w:rsid w:val="0034028B"/>
    <w:rsid w:val="00346ED2"/>
    <w:rsid w:val="00374070"/>
    <w:rsid w:val="003E1A68"/>
    <w:rsid w:val="003F1C32"/>
    <w:rsid w:val="00420D74"/>
    <w:rsid w:val="00432402"/>
    <w:rsid w:val="0045040F"/>
    <w:rsid w:val="00466605"/>
    <w:rsid w:val="004A236B"/>
    <w:rsid w:val="004B4026"/>
    <w:rsid w:val="004C7F5E"/>
    <w:rsid w:val="004D5307"/>
    <w:rsid w:val="004F034F"/>
    <w:rsid w:val="004F1EF1"/>
    <w:rsid w:val="00510BA5"/>
    <w:rsid w:val="00527A03"/>
    <w:rsid w:val="00563E8F"/>
    <w:rsid w:val="005804B9"/>
    <w:rsid w:val="005A0E14"/>
    <w:rsid w:val="005C6FCB"/>
    <w:rsid w:val="005E583A"/>
    <w:rsid w:val="005F2E9B"/>
    <w:rsid w:val="005F48BE"/>
    <w:rsid w:val="00640FDE"/>
    <w:rsid w:val="006538E1"/>
    <w:rsid w:val="007143CD"/>
    <w:rsid w:val="00717416"/>
    <w:rsid w:val="007303F6"/>
    <w:rsid w:val="00732C8C"/>
    <w:rsid w:val="00747259"/>
    <w:rsid w:val="00754974"/>
    <w:rsid w:val="007A4C26"/>
    <w:rsid w:val="007B017F"/>
    <w:rsid w:val="007B5F3E"/>
    <w:rsid w:val="007C7189"/>
    <w:rsid w:val="007E4BE3"/>
    <w:rsid w:val="0080662E"/>
    <w:rsid w:val="00836C1F"/>
    <w:rsid w:val="00866E74"/>
    <w:rsid w:val="00894EE6"/>
    <w:rsid w:val="008A707D"/>
    <w:rsid w:val="008D3E86"/>
    <w:rsid w:val="008E3B64"/>
    <w:rsid w:val="008F2B54"/>
    <w:rsid w:val="00955293"/>
    <w:rsid w:val="00981E5B"/>
    <w:rsid w:val="009B13AF"/>
    <w:rsid w:val="00A02826"/>
    <w:rsid w:val="00A352A3"/>
    <w:rsid w:val="00A52128"/>
    <w:rsid w:val="00A90E34"/>
    <w:rsid w:val="00A95D0C"/>
    <w:rsid w:val="00AB57AF"/>
    <w:rsid w:val="00AE5AA3"/>
    <w:rsid w:val="00B06267"/>
    <w:rsid w:val="00B07DEF"/>
    <w:rsid w:val="00B14822"/>
    <w:rsid w:val="00B35D81"/>
    <w:rsid w:val="00B3723D"/>
    <w:rsid w:val="00BB513F"/>
    <w:rsid w:val="00BC1259"/>
    <w:rsid w:val="00BC2076"/>
    <w:rsid w:val="00BC398E"/>
    <w:rsid w:val="00BE1A3A"/>
    <w:rsid w:val="00C01696"/>
    <w:rsid w:val="00C4233D"/>
    <w:rsid w:val="00D03CCD"/>
    <w:rsid w:val="00D33509"/>
    <w:rsid w:val="00D46533"/>
    <w:rsid w:val="00D91389"/>
    <w:rsid w:val="00DA2C69"/>
    <w:rsid w:val="00DC4ABB"/>
    <w:rsid w:val="00DD246D"/>
    <w:rsid w:val="00DD43B7"/>
    <w:rsid w:val="00DD5ABC"/>
    <w:rsid w:val="00DE3630"/>
    <w:rsid w:val="00E27A39"/>
    <w:rsid w:val="00E504DE"/>
    <w:rsid w:val="00E767F1"/>
    <w:rsid w:val="00E80603"/>
    <w:rsid w:val="00EB34F9"/>
    <w:rsid w:val="00F1747E"/>
    <w:rsid w:val="00F34E57"/>
    <w:rsid w:val="00F57B20"/>
    <w:rsid w:val="00F7745C"/>
    <w:rsid w:val="00F8077D"/>
    <w:rsid w:val="00FB3140"/>
    <w:rsid w:val="00FD7473"/>
    <w:rsid w:val="021F4E0E"/>
    <w:rsid w:val="02F820E5"/>
    <w:rsid w:val="03B22E51"/>
    <w:rsid w:val="0F4E0910"/>
    <w:rsid w:val="0FCA3FBC"/>
    <w:rsid w:val="16E0244F"/>
    <w:rsid w:val="18797693"/>
    <w:rsid w:val="1ABC3843"/>
    <w:rsid w:val="1D9858FD"/>
    <w:rsid w:val="23024B39"/>
    <w:rsid w:val="30D07848"/>
    <w:rsid w:val="40523766"/>
    <w:rsid w:val="435B2EBF"/>
    <w:rsid w:val="4F6D4AD6"/>
    <w:rsid w:val="527C063B"/>
    <w:rsid w:val="601969DF"/>
    <w:rsid w:val="63EC745F"/>
    <w:rsid w:val="64202CA8"/>
    <w:rsid w:val="6AAE1918"/>
    <w:rsid w:val="73E91C2D"/>
    <w:rsid w:val="748151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9B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C29BA"/>
    <w:pPr>
      <w:jc w:val="left"/>
    </w:pPr>
  </w:style>
  <w:style w:type="paragraph" w:styleId="a4">
    <w:name w:val="Balloon Text"/>
    <w:basedOn w:val="a"/>
    <w:link w:val="Char0"/>
    <w:uiPriority w:val="99"/>
    <w:semiHidden/>
    <w:unhideWhenUsed/>
    <w:qFormat/>
    <w:rsid w:val="000C29BA"/>
    <w:rPr>
      <w:sz w:val="18"/>
      <w:szCs w:val="18"/>
    </w:rPr>
  </w:style>
  <w:style w:type="paragraph" w:styleId="a5">
    <w:name w:val="footer"/>
    <w:basedOn w:val="a"/>
    <w:link w:val="Char1"/>
    <w:uiPriority w:val="99"/>
    <w:unhideWhenUsed/>
    <w:qFormat/>
    <w:rsid w:val="000C29B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C29B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0C29BA"/>
    <w:rPr>
      <w:b/>
      <w:bCs/>
    </w:rPr>
  </w:style>
  <w:style w:type="table" w:styleId="a8">
    <w:name w:val="Table Grid"/>
    <w:basedOn w:val="a1"/>
    <w:qFormat/>
    <w:rsid w:val="000C29B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0C29BA"/>
    <w:rPr>
      <w:sz w:val="21"/>
      <w:szCs w:val="21"/>
    </w:rPr>
  </w:style>
  <w:style w:type="character" w:customStyle="1" w:styleId="Char2">
    <w:name w:val="页眉 Char"/>
    <w:basedOn w:val="a0"/>
    <w:link w:val="a6"/>
    <w:uiPriority w:val="99"/>
    <w:qFormat/>
    <w:rsid w:val="000C29BA"/>
    <w:rPr>
      <w:sz w:val="18"/>
      <w:szCs w:val="18"/>
    </w:rPr>
  </w:style>
  <w:style w:type="character" w:customStyle="1" w:styleId="Char1">
    <w:name w:val="页脚 Char"/>
    <w:basedOn w:val="a0"/>
    <w:link w:val="a5"/>
    <w:uiPriority w:val="99"/>
    <w:qFormat/>
    <w:rsid w:val="000C29BA"/>
    <w:rPr>
      <w:sz w:val="18"/>
      <w:szCs w:val="18"/>
    </w:rPr>
  </w:style>
  <w:style w:type="paragraph" w:styleId="aa">
    <w:name w:val="List Paragraph"/>
    <w:basedOn w:val="a"/>
    <w:qFormat/>
    <w:rsid w:val="000C29BA"/>
    <w:pPr>
      <w:ind w:firstLineChars="200" w:firstLine="420"/>
    </w:pPr>
  </w:style>
  <w:style w:type="character" w:customStyle="1" w:styleId="Char">
    <w:name w:val="批注文字 Char"/>
    <w:basedOn w:val="a0"/>
    <w:link w:val="a3"/>
    <w:uiPriority w:val="99"/>
    <w:qFormat/>
    <w:rsid w:val="000C29BA"/>
    <w:rPr>
      <w:rFonts w:ascii="Calibri" w:eastAsia="宋体" w:hAnsi="Calibri" w:cs="宋体"/>
    </w:rPr>
  </w:style>
  <w:style w:type="character" w:customStyle="1" w:styleId="Char3">
    <w:name w:val="批注主题 Char"/>
    <w:basedOn w:val="Char"/>
    <w:link w:val="a7"/>
    <w:uiPriority w:val="99"/>
    <w:semiHidden/>
    <w:qFormat/>
    <w:rsid w:val="000C29BA"/>
    <w:rPr>
      <w:rFonts w:ascii="Calibri" w:eastAsia="宋体" w:hAnsi="Calibri" w:cs="宋体"/>
      <w:b/>
      <w:bCs/>
    </w:rPr>
  </w:style>
  <w:style w:type="character" w:customStyle="1" w:styleId="Char0">
    <w:name w:val="批注框文本 Char"/>
    <w:basedOn w:val="a0"/>
    <w:link w:val="a4"/>
    <w:uiPriority w:val="99"/>
    <w:semiHidden/>
    <w:qFormat/>
    <w:rsid w:val="000C29BA"/>
    <w:rPr>
      <w:rFonts w:ascii="Calibri" w:eastAsia="宋体" w:hAnsi="Calibri" w:cs="宋体"/>
      <w:sz w:val="18"/>
      <w:szCs w:val="18"/>
    </w:rPr>
  </w:style>
  <w:style w:type="paragraph" w:customStyle="1" w:styleId="1">
    <w:name w:val="修订1"/>
    <w:hidden/>
    <w:uiPriority w:val="99"/>
    <w:semiHidden/>
    <w:qFormat/>
    <w:rsid w:val="000C29BA"/>
    <w:rPr>
      <w:rFonts w:ascii="Calibri" w:hAnsi="Calibri" w:cs="宋体"/>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8B440C-9447-4021-ABEB-14A50C58C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5574</Words>
  <Characters>295</Characters>
  <Application>Microsoft Office Word</Application>
  <DocSecurity>0</DocSecurity>
  <Lines>2</Lines>
  <Paragraphs>11</Paragraphs>
  <ScaleCrop>false</ScaleCrop>
  <Company>神州网信技术有限公司</Company>
  <LinksUpToDate>false</LinksUpToDate>
  <CharactersWithSpaces>5858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User</cp:lastModifiedBy>
  <cp:revision>64</cp:revision>
  <dcterms:created xsi:type="dcterms:W3CDTF">2021-06-16T13:02:00Z</dcterms:created>
  <dcterms:modified xsi:type="dcterms:W3CDTF">2022-09-22T01:45:00Z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8C3451F4A9D547188BD69B541900499D</vt:lpwstr>
  </property>
</Properties>
</file>